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A9C4" w14:textId="77777777" w:rsidR="00F0545D" w:rsidRDefault="00F0545D" w:rsidP="00F0545D">
      <w:p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</w:p>
    <w:p w14:paraId="3227A9C5" w14:textId="77777777" w:rsidR="00F0545D" w:rsidRDefault="00F0545D" w:rsidP="00F0545D">
      <w:p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227AA04" wp14:editId="3227AA05">
            <wp:simplePos x="0" y="0"/>
            <wp:positionH relativeFrom="page">
              <wp:posOffset>152400</wp:posOffset>
            </wp:positionH>
            <wp:positionV relativeFrom="paragraph">
              <wp:posOffset>-572770</wp:posOffset>
            </wp:positionV>
            <wp:extent cx="8304248" cy="849086"/>
            <wp:effectExtent l="0" t="0" r="1905" b="825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248" cy="8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7A9C6" w14:textId="77777777" w:rsidR="00F0545D" w:rsidRDefault="00F0545D" w:rsidP="00F0545D">
      <w:pPr>
        <w:shd w:val="clear" w:color="auto" w:fill="FFFFFF"/>
        <w:jc w:val="center"/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Finance, Audit &amp; Risk Committee (FinCom)</w:t>
      </w: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br/>
        <w:t>Terms of Reference</w:t>
      </w: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br/>
      </w:r>
      <w:r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Presented to the board September 2019</w:t>
      </w: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br/>
      </w:r>
    </w:p>
    <w:p w14:paraId="3227A9CA" w14:textId="77777777" w:rsidR="00F0545D" w:rsidRPr="00F0545D" w:rsidRDefault="00F0545D" w:rsidP="00F0545D">
      <w:pPr>
        <w:shd w:val="clear" w:color="auto" w:fill="FFFFFF"/>
        <w:jc w:val="center"/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</w:pPr>
    </w:p>
    <w:p w14:paraId="3227A9CB" w14:textId="77777777" w:rsidR="00F0545D" w:rsidRPr="00F0545D" w:rsidRDefault="00F0545D" w:rsidP="00F0545D">
      <w:p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</w:p>
    <w:p w14:paraId="3227A9CC" w14:textId="77777777" w:rsidR="00F0545D" w:rsidRDefault="00F0545D" w:rsidP="00F0545D">
      <w:p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Role</w:t>
      </w: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br/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FinCom is the key advisory body to the Board on ensuring that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financial governance, risk and audit processes and policies are robust,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relevant and delivered effectively for IEMA.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overall purpose of the Committee is to monitor and scrutinise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organisational performance and recommend actions to the Board.</w:t>
      </w:r>
    </w:p>
    <w:p w14:paraId="3227A9CD" w14:textId="77777777" w:rsidR="00F0545D" w:rsidRDefault="00F0545D" w:rsidP="00F0545D">
      <w:p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</w:p>
    <w:p w14:paraId="3227A9CE" w14:textId="77777777" w:rsidR="00F0545D" w:rsidRDefault="00F0545D" w:rsidP="00F0545D">
      <w:p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Remit and Responsibilities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  <w:t>In fulfilling its role, the FinCom will:</w:t>
      </w:r>
    </w:p>
    <w:p w14:paraId="3227A9CF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Monitor and review the overall financial strategies and performance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of IEMA to ensure they meet business needs and comply with relevant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laws and regulations</w:t>
      </w:r>
    </w:p>
    <w:p w14:paraId="3227A9D0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Ensure implementation of effective frameworks for the financial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management of IEMA</w:t>
      </w:r>
    </w:p>
    <w:p w14:paraId="3227A9D1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Consider and recommend ad hoc treasury decisions, including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proposed changes to bank accounts and mandates</w:t>
      </w:r>
    </w:p>
    <w:p w14:paraId="3227A9D2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Commission special investigations on matters of financial concern</w:t>
      </w:r>
    </w:p>
    <w:p w14:paraId="3227A9D3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Review management accounts on a quarterly basis for accuracy and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performance against budget and forecast year end position</w:t>
      </w:r>
    </w:p>
    <w:p w14:paraId="3227A9D4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Carry out a formal review of the company Reserves Policy and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performance against it, recommending any changes to the Board</w:t>
      </w:r>
    </w:p>
    <w:p w14:paraId="3227A9D5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Provide the Board with appropriate and timely financial and risk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information to enable the Board to discharge its duties</w:t>
      </w:r>
    </w:p>
    <w:p w14:paraId="3227A9D6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Liaise with external Auditors and to operate as the Audit Committee.</w:t>
      </w:r>
    </w:p>
    <w:p w14:paraId="3227A9D7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Advise on and review investment strategies and capital expenditure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programmes</w:t>
      </w:r>
    </w:p>
    <w:p w14:paraId="3227A9D8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Review and advise on annual draft budget proposals and 12 month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rolling forecasts before these are presented to the Board for approval</w:t>
      </w:r>
    </w:p>
    <w:p w14:paraId="3227A9D9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Monitor the corporate risk profile of IEMA through a regular review of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Risk Register and associated risk management processes</w:t>
      </w:r>
    </w:p>
    <w:p w14:paraId="3227A9DA" w14:textId="77777777" w:rsid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FinCom Members will comply with the Corporate Governance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Code adopted by the Board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</w:p>
    <w:p w14:paraId="3227A9DB" w14:textId="77777777" w:rsidR="00F0545D" w:rsidRPr="00F0545D" w:rsidRDefault="00F0545D" w:rsidP="00F0545D">
      <w:pPr>
        <w:shd w:val="clear" w:color="auto" w:fill="FFFFFF"/>
        <w:rPr>
          <w:rFonts w:asciiTheme="minorHAnsi" w:eastAsia="Times New Roman" w:hAnsiTheme="minorHAnsi" w:cs="Times New Roman"/>
          <w:b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Status</w:t>
      </w:r>
    </w:p>
    <w:p w14:paraId="3227A9DC" w14:textId="77777777" w:rsid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FinCom is a subcommittee of the Board with the delegated powers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set out in these Terms of Reference</w:t>
      </w:r>
    </w:p>
    <w:p w14:paraId="3227A9DD" w14:textId="77777777" w:rsidR="00F0545D" w:rsidRPr="00F0545D" w:rsidRDefault="00F0545D" w:rsidP="00F0545D">
      <w:pPr>
        <w:pStyle w:val="ListParagraph"/>
        <w:numPr>
          <w:ilvl w:val="0"/>
          <w:numId w:val="2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The </w:t>
      </w:r>
      <w:proofErr w:type="spellStart"/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FinCom’s</w:t>
      </w:r>
      <w:proofErr w:type="spellEnd"/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authority is derived from approval by the Board of these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Terms of Reference</w:t>
      </w:r>
      <w:r w:rsidR="00687D93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="00687D93" w:rsidRPr="00330429">
        <w:rPr>
          <w:rFonts w:asciiTheme="minorHAnsi" w:eastAsia="Times New Roman" w:hAnsiTheme="minorHAnsi"/>
          <w:sz w:val="22"/>
          <w:szCs w:val="27"/>
          <w:lang w:eastAsia="en-GB"/>
        </w:rPr>
        <w:t>approved September 2019</w:t>
      </w:r>
      <w:r w:rsidRPr="00330429">
        <w:rPr>
          <w:rFonts w:asciiTheme="minorHAnsi" w:eastAsia="Times New Roman" w:hAnsiTheme="minorHAnsi"/>
          <w:sz w:val="22"/>
          <w:szCs w:val="27"/>
          <w:lang w:eastAsia="en-GB"/>
        </w:rPr>
        <w:t>.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</w:p>
    <w:p w14:paraId="3227A9DE" w14:textId="77777777" w:rsidR="00F0545D" w:rsidRDefault="00F0545D">
      <w:pPr>
        <w:spacing w:after="200" w:line="276" w:lineRule="auto"/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</w:pPr>
      <w:r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br w:type="page"/>
      </w:r>
    </w:p>
    <w:p w14:paraId="3227A9DF" w14:textId="77777777" w:rsidR="00F0545D" w:rsidRDefault="00F0545D" w:rsidP="00F0545D">
      <w:p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lastRenderedPageBreak/>
        <w:t>Membership and Constitution</w:t>
      </w:r>
    </w:p>
    <w:p w14:paraId="3227A9E0" w14:textId="1FD85895" w:rsidR="00F0545D" w:rsidRPr="00330429" w:rsidRDefault="00F0545D" w:rsidP="00F0545D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imes New Roman"/>
          <w:sz w:val="22"/>
          <w:szCs w:val="27"/>
          <w:lang w:eastAsia="en-GB"/>
        </w:rPr>
      </w:pPr>
      <w:r w:rsidRPr="00330429">
        <w:rPr>
          <w:rFonts w:asciiTheme="minorHAnsi" w:eastAsia="Times New Roman" w:hAnsiTheme="minorHAnsi"/>
          <w:sz w:val="22"/>
          <w:szCs w:val="27"/>
          <w:lang w:eastAsia="en-GB"/>
        </w:rPr>
        <w:t xml:space="preserve">The FinCom will comprise of no fewer than </w:t>
      </w:r>
      <w:r w:rsidR="00687D93" w:rsidRPr="00330429">
        <w:rPr>
          <w:rFonts w:asciiTheme="minorHAnsi" w:eastAsia="Times New Roman" w:hAnsiTheme="minorHAnsi"/>
          <w:sz w:val="22"/>
          <w:szCs w:val="27"/>
          <w:lang w:eastAsia="en-GB"/>
        </w:rPr>
        <w:t xml:space="preserve">three </w:t>
      </w:r>
      <w:r w:rsidRPr="00330429">
        <w:rPr>
          <w:rFonts w:asciiTheme="minorHAnsi" w:eastAsia="Times New Roman" w:hAnsiTheme="minorHAnsi"/>
          <w:sz w:val="22"/>
          <w:szCs w:val="27"/>
          <w:lang w:eastAsia="en-GB"/>
        </w:rPr>
        <w:t>members of the Board. Members of the FinCom will be appointed by the Board</w:t>
      </w:r>
    </w:p>
    <w:p w14:paraId="3227A9E1" w14:textId="77777777" w:rsidR="00F0545D" w:rsidRPr="00330429" w:rsidRDefault="00F0545D" w:rsidP="00F0545D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imes New Roman"/>
          <w:sz w:val="22"/>
          <w:szCs w:val="27"/>
          <w:lang w:eastAsia="en-GB"/>
        </w:rPr>
      </w:pPr>
      <w:r w:rsidRPr="00330429">
        <w:rPr>
          <w:rFonts w:asciiTheme="minorHAnsi" w:eastAsia="Times New Roman" w:hAnsiTheme="minorHAnsi"/>
          <w:sz w:val="22"/>
          <w:szCs w:val="27"/>
          <w:lang w:eastAsia="en-GB"/>
        </w:rPr>
        <w:t>All members of the FinCom shall be financially literate, with at least one member having accounting or financial expertise</w:t>
      </w:r>
    </w:p>
    <w:p w14:paraId="3227A9E2" w14:textId="77777777" w:rsidR="00F0545D" w:rsidRPr="00330429" w:rsidRDefault="00F0545D" w:rsidP="00F0545D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imes New Roman"/>
          <w:sz w:val="22"/>
          <w:szCs w:val="27"/>
          <w:lang w:eastAsia="en-GB"/>
        </w:rPr>
      </w:pPr>
      <w:r w:rsidRPr="00330429">
        <w:rPr>
          <w:rFonts w:asciiTheme="minorHAnsi" w:eastAsia="Times New Roman" w:hAnsiTheme="minorHAnsi"/>
          <w:sz w:val="22"/>
          <w:szCs w:val="27"/>
          <w:lang w:eastAsia="en-GB"/>
        </w:rPr>
        <w:t>The FinCom may in addition co-opt external members on a fixed term basis who they consider have particular skills and abilities which would assist the work of the FinCom</w:t>
      </w:r>
    </w:p>
    <w:p w14:paraId="3227A9E3" w14:textId="77777777" w:rsidR="00F0545D" w:rsidRPr="00330429" w:rsidRDefault="00F0545D" w:rsidP="00F0545D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imes New Roman"/>
          <w:sz w:val="22"/>
          <w:szCs w:val="27"/>
          <w:lang w:eastAsia="en-GB"/>
        </w:rPr>
      </w:pPr>
      <w:r w:rsidRPr="00330429">
        <w:rPr>
          <w:rFonts w:asciiTheme="minorHAnsi" w:eastAsia="Times New Roman" w:hAnsiTheme="minorHAnsi"/>
          <w:sz w:val="22"/>
          <w:szCs w:val="27"/>
          <w:lang w:eastAsia="en-GB"/>
        </w:rPr>
        <w:t>The Chairperson of the Board is not a member of the FinCom but may attend meetings</w:t>
      </w:r>
    </w:p>
    <w:p w14:paraId="3227A9E4" w14:textId="77777777" w:rsidR="004A1E96" w:rsidRPr="00330429" w:rsidRDefault="004A1E96" w:rsidP="00F0545D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imes New Roman"/>
          <w:sz w:val="22"/>
          <w:szCs w:val="27"/>
          <w:lang w:eastAsia="en-GB"/>
        </w:rPr>
      </w:pPr>
      <w:r w:rsidRPr="00330429">
        <w:rPr>
          <w:rFonts w:asciiTheme="minorHAnsi" w:eastAsia="Times New Roman" w:hAnsiTheme="minorHAnsi" w:cs="Times New Roman"/>
          <w:sz w:val="22"/>
          <w:szCs w:val="27"/>
          <w:lang w:eastAsia="en-GB"/>
        </w:rPr>
        <w:t xml:space="preserve">Executive directors of IEMA may join the </w:t>
      </w:r>
      <w:proofErr w:type="spellStart"/>
      <w:r w:rsidRPr="00330429">
        <w:rPr>
          <w:rFonts w:asciiTheme="minorHAnsi" w:eastAsia="Times New Roman" w:hAnsiTheme="minorHAnsi" w:cs="Times New Roman"/>
          <w:sz w:val="22"/>
          <w:szCs w:val="27"/>
          <w:lang w:eastAsia="en-GB"/>
        </w:rPr>
        <w:t>Fincom</w:t>
      </w:r>
      <w:proofErr w:type="spellEnd"/>
      <w:r w:rsidRPr="00330429">
        <w:rPr>
          <w:rFonts w:asciiTheme="minorHAnsi" w:eastAsia="Times New Roman" w:hAnsiTheme="minorHAnsi" w:cs="Times New Roman"/>
          <w:sz w:val="22"/>
          <w:szCs w:val="27"/>
          <w:lang w:eastAsia="en-GB"/>
        </w:rPr>
        <w:t xml:space="preserve"> </w:t>
      </w:r>
      <w:r w:rsidRPr="00330429">
        <w:rPr>
          <w:rFonts w:asciiTheme="minorHAnsi" w:eastAsia="Times New Roman" w:hAnsiTheme="minorHAnsi" w:cs="Times New Roman"/>
          <w:i/>
          <w:sz w:val="22"/>
          <w:szCs w:val="27"/>
          <w:lang w:eastAsia="en-GB"/>
        </w:rPr>
        <w:t>ex officio</w:t>
      </w:r>
      <w:r w:rsidRPr="00330429">
        <w:rPr>
          <w:rFonts w:asciiTheme="minorHAnsi" w:eastAsia="Times New Roman" w:hAnsiTheme="minorHAnsi" w:cs="Times New Roman"/>
          <w:sz w:val="22"/>
          <w:szCs w:val="27"/>
          <w:lang w:eastAsia="en-GB"/>
        </w:rPr>
        <w:t xml:space="preserve">. They are therefore in attendance and not formally a member of the </w:t>
      </w:r>
      <w:proofErr w:type="spellStart"/>
      <w:r w:rsidRPr="00330429">
        <w:rPr>
          <w:rFonts w:asciiTheme="minorHAnsi" w:eastAsia="Times New Roman" w:hAnsiTheme="minorHAnsi" w:cs="Times New Roman"/>
          <w:sz w:val="22"/>
          <w:szCs w:val="27"/>
          <w:lang w:eastAsia="en-GB"/>
        </w:rPr>
        <w:t>Fincom</w:t>
      </w:r>
      <w:proofErr w:type="spellEnd"/>
      <w:r w:rsidRPr="00330429">
        <w:rPr>
          <w:rFonts w:asciiTheme="minorHAnsi" w:eastAsia="Times New Roman" w:hAnsiTheme="minorHAnsi" w:cs="Times New Roman"/>
          <w:sz w:val="22"/>
          <w:szCs w:val="27"/>
          <w:lang w:eastAsia="en-GB"/>
        </w:rPr>
        <w:t>.</w:t>
      </w:r>
    </w:p>
    <w:p w14:paraId="3227A9E5" w14:textId="77777777" w:rsidR="00F0545D" w:rsidRPr="00F0545D" w:rsidRDefault="00F0545D" w:rsidP="00F0545D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Chairperson of the FinCom will be appointed by the Board.</w:t>
      </w:r>
    </w:p>
    <w:p w14:paraId="3227A9E6" w14:textId="77777777" w:rsidR="00F0545D" w:rsidRPr="00F0545D" w:rsidRDefault="00F0545D" w:rsidP="00F0545D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authority and continuance of the FinCom will be reviewed and determined annually by the Board</w:t>
      </w:r>
    </w:p>
    <w:p w14:paraId="3227A9E7" w14:textId="77777777" w:rsidR="00F0545D" w:rsidRDefault="00F0545D" w:rsidP="00F0545D">
      <w:pPr>
        <w:pStyle w:val="ListParagraph"/>
        <w:numPr>
          <w:ilvl w:val="0"/>
          <w:numId w:val="3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FinCom will regularly review its own performance and Terms of Reference to ensure it is operating to maximum effectiveness and recommend any changes it considers necessary to the Board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</w:p>
    <w:p w14:paraId="3227A9E8" w14:textId="77777777" w:rsidR="00F0545D" w:rsidRPr="00F0545D" w:rsidRDefault="00F0545D" w:rsidP="00F0545D">
      <w:p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Meetings</w:t>
      </w:r>
    </w:p>
    <w:p w14:paraId="3227A9E9" w14:textId="77777777" w:rsidR="00F0545D" w:rsidRDefault="00F0545D" w:rsidP="00F0545D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The FinCom shall meet a minimum of </w:t>
      </w:r>
      <w:r w:rsidR="004A1E96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three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times a year, preferably prior to the quarterly Board meetings, or at the discretion of the Chairperson.</w:t>
      </w:r>
    </w:p>
    <w:p w14:paraId="3227A9EA" w14:textId="49CB19C1" w:rsidR="00F0545D" w:rsidRDefault="00F0545D" w:rsidP="00F0545D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The quorum for meetings shall be </w:t>
      </w:r>
      <w:r w:rsidR="004A1E96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two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members of the FinCom, present in person or via telephone/video conferencing</w:t>
      </w:r>
    </w:p>
    <w:p w14:paraId="3227A9EB" w14:textId="77777777" w:rsidR="00F0545D" w:rsidRDefault="00F0545D" w:rsidP="00F0545D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Chairperson of the FinCom shall set the agenda and request any information and preparation from the IEMA team</w:t>
      </w:r>
    </w:p>
    <w:p w14:paraId="3227A9EC" w14:textId="77777777" w:rsidR="00F0545D" w:rsidRDefault="00F0545D" w:rsidP="00F0545D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Notice of all meetings shall confirm venue and timings, no later than </w:t>
      </w:r>
      <w:r w:rsidR="004A1E96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seven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days prior to each meeting</w:t>
      </w:r>
    </w:p>
    <w:p w14:paraId="3227A9ED" w14:textId="77777777" w:rsidR="00F0545D" w:rsidRDefault="00F0545D" w:rsidP="00F0545D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Meeting agenda and associated papers should aim to be with members at least </w:t>
      </w:r>
      <w:r w:rsidR="004A1E96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seven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days prior to each meeting</w:t>
      </w:r>
    </w:p>
    <w:p w14:paraId="3227A9EE" w14:textId="77777777" w:rsidR="00F0545D" w:rsidRDefault="00F0545D" w:rsidP="00F0545D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Members are not permitted to send substitute attendees if they are unable to attend themselves</w:t>
      </w:r>
    </w:p>
    <w:p w14:paraId="3227A9EF" w14:textId="77777777" w:rsidR="00F0545D" w:rsidRDefault="00F0545D" w:rsidP="00F0545D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Meetings will be </w:t>
      </w:r>
      <w:proofErr w:type="spellStart"/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minuted</w:t>
      </w:r>
      <w:proofErr w:type="spellEnd"/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in a way deemed suitable by the FinCom and include a record of attendance</w:t>
      </w:r>
    </w:p>
    <w:p w14:paraId="3227A9F0" w14:textId="0FA7E1D9" w:rsidR="00F0545D" w:rsidRPr="00F0545D" w:rsidRDefault="00F0545D" w:rsidP="00F0545D">
      <w:pPr>
        <w:pStyle w:val="ListParagraph"/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CEO and any other IEMA staff member invited by the FinCom Chair shall attend meetings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</w:p>
    <w:p w14:paraId="3227A9F1" w14:textId="77777777" w:rsidR="00F0545D" w:rsidRDefault="00F0545D" w:rsidP="00F0545D">
      <w:pPr>
        <w:shd w:val="clear" w:color="auto" w:fill="FFFFFF"/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Reporting</w:t>
      </w:r>
    </w:p>
    <w:p w14:paraId="3227A9F2" w14:textId="77777777" w:rsidR="00F0545D" w:rsidRDefault="00F0545D" w:rsidP="00F0545D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Secretary to the Board shall serve as Secretary to the FinCom. If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Secretary is not present at any meeting the FinCom may appoint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an acting Secretary to perform this function at that meeting</w:t>
      </w:r>
    </w:p>
    <w:p w14:paraId="3227A9F3" w14:textId="77777777" w:rsidR="00F0545D" w:rsidRDefault="00F0545D" w:rsidP="00F0545D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minutes of each meeting shall be agreed by the Chairperson of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FinCom circulated to the FinCom Members</w:t>
      </w:r>
    </w:p>
    <w:p w14:paraId="3227A9F4" w14:textId="77777777" w:rsidR="00F0545D" w:rsidRDefault="00F0545D" w:rsidP="00F0545D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Minutes shall be presented to the next meeting of the Board for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approval</w:t>
      </w:r>
    </w:p>
    <w:p w14:paraId="3227A9F5" w14:textId="77777777" w:rsidR="00F0545D" w:rsidRPr="00F0545D" w:rsidRDefault="00F0545D" w:rsidP="00F0545D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Matters requiring Board approval shall be highlighted in the minutes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and brought to the attention of the Board by the Chairperson of the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FinCom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</w:p>
    <w:p w14:paraId="3227A9F6" w14:textId="77777777" w:rsidR="00F0545D" w:rsidRDefault="00F0545D" w:rsidP="00F0545D">
      <w:pPr>
        <w:shd w:val="clear" w:color="auto" w:fill="FFFFFF"/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Confidentiality</w:t>
      </w:r>
    </w:p>
    <w:p w14:paraId="3227A9F7" w14:textId="77777777" w:rsidR="00F0545D" w:rsidRDefault="00F0545D" w:rsidP="00F0545D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All deliberation of the FinCom, and all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records, material and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information shall be considered confidential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</w:p>
    <w:p w14:paraId="3227A9F8" w14:textId="77777777" w:rsidR="00F0545D" w:rsidRDefault="00F0545D">
      <w:pPr>
        <w:spacing w:after="200" w:line="276" w:lineRule="auto"/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</w:pPr>
      <w:r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br w:type="page"/>
      </w:r>
    </w:p>
    <w:p w14:paraId="3227A9F9" w14:textId="77777777" w:rsidR="004A1E96" w:rsidRPr="004A1E96" w:rsidRDefault="00F0545D" w:rsidP="004A1E96">
      <w:p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4A1E96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lastRenderedPageBreak/>
        <w:t xml:space="preserve">Support to the </w:t>
      </w:r>
      <w:r w:rsidR="004A1E96" w:rsidRPr="004A1E96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FinCom</w:t>
      </w:r>
    </w:p>
    <w:p w14:paraId="3227A9FA" w14:textId="77777777" w:rsidR="00F0545D" w:rsidRPr="00F0545D" w:rsidRDefault="00F0545D" w:rsidP="004A1E96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FinCom shall have access to any and all IEMA documents required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 xml:space="preserve"> 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to ensure the execution of its obligations</w:t>
      </w:r>
    </w:p>
    <w:p w14:paraId="3227A9FB" w14:textId="77777777" w:rsidR="00F0545D" w:rsidRPr="00F0545D" w:rsidRDefault="00F0545D" w:rsidP="00F0545D">
      <w:pPr>
        <w:pStyle w:val="ListParagraph"/>
        <w:numPr>
          <w:ilvl w:val="0"/>
          <w:numId w:val="5"/>
        </w:numPr>
        <w:shd w:val="clear" w:color="auto" w:fill="FFFFFF"/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 w:rsidRPr="004A1E96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The FinCom shall have the authority to engage IEMA in providing information and support if requested to do so</w:t>
      </w:r>
      <w:r w:rsidRPr="004A1E96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  <w:r w:rsidRPr="00F0545D">
        <w:rPr>
          <w:rFonts w:asciiTheme="minorHAnsi" w:eastAsia="Times New Roman" w:hAnsiTheme="minorHAnsi" w:cs="Times New Roman"/>
          <w:noProof/>
          <w:color w:val="000000"/>
          <w:sz w:val="22"/>
          <w:szCs w:val="27"/>
          <w:lang w:eastAsia="en-GB"/>
        </w:rPr>
        <mc:AlternateContent>
          <mc:Choice Requires="wps">
            <w:drawing>
              <wp:inline distT="0" distB="0" distL="0" distR="0" wp14:anchorId="3227AA06" wp14:editId="3227AA07">
                <wp:extent cx="304800" cy="304800"/>
                <wp:effectExtent l="0" t="0" r="0" b="0"/>
                <wp:docPr id="1" name="Rectangle 1" descr="blob:https://directorpoint.com/8b3f6242-9838-4790-aedd-8cec45c36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0DD799" id="Rectangle 1" o:spid="_x0000_s1026" alt="blob:https://directorpoint.com/8b3f6242-9838-4790-aedd-8cec45c368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227A9FC" w14:textId="77777777" w:rsidR="00F0545D" w:rsidRDefault="00F0545D" w:rsidP="00F0545D">
      <w:pPr>
        <w:shd w:val="clear" w:color="auto" w:fill="FFFFFF"/>
        <w:tabs>
          <w:tab w:val="left" w:pos="1843"/>
        </w:tabs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 w:rsidRPr="00F0545D">
        <w:rPr>
          <w:rFonts w:asciiTheme="minorHAnsi" w:eastAsia="Times New Roman" w:hAnsiTheme="minorHAnsi"/>
          <w:b/>
          <w:color w:val="000000"/>
          <w:sz w:val="22"/>
          <w:szCs w:val="27"/>
          <w:lang w:eastAsia="en-GB"/>
        </w:rPr>
        <w:t>Current Members of the Finance, Audit &amp; Risk Committee</w:t>
      </w:r>
      <w:r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Chair: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  <w:t>Richard Carter</w:t>
      </w:r>
    </w:p>
    <w:p w14:paraId="3227A9FD" w14:textId="77777777" w:rsidR="00F0545D" w:rsidRDefault="00F0545D" w:rsidP="00F0545D">
      <w:pPr>
        <w:shd w:val="clear" w:color="auto" w:fill="FFFFFF"/>
        <w:tabs>
          <w:tab w:val="left" w:pos="1843"/>
        </w:tabs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Members: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  <w:t>Ian Bamford</w:t>
      </w:r>
    </w:p>
    <w:p w14:paraId="3227A9FE" w14:textId="77777777" w:rsidR="00F0545D" w:rsidRDefault="00F0545D" w:rsidP="00F0545D">
      <w:pPr>
        <w:shd w:val="clear" w:color="auto" w:fill="FFFFFF"/>
        <w:tabs>
          <w:tab w:val="left" w:pos="1843"/>
        </w:tabs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  <w:t>Simon Catford</w:t>
      </w:r>
    </w:p>
    <w:p w14:paraId="3227A9FF" w14:textId="77777777" w:rsidR="00F0545D" w:rsidRDefault="00F0545D" w:rsidP="00F0545D">
      <w:pPr>
        <w:shd w:val="clear" w:color="auto" w:fill="FFFFFF"/>
        <w:tabs>
          <w:tab w:val="left" w:pos="1843"/>
        </w:tabs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</w:p>
    <w:p w14:paraId="3697223D" w14:textId="77777777" w:rsidR="00C36B24" w:rsidRDefault="00F0545D" w:rsidP="00C36B24">
      <w:pPr>
        <w:shd w:val="clear" w:color="auto" w:fill="FFFFFF"/>
        <w:tabs>
          <w:tab w:val="left" w:pos="1843"/>
        </w:tabs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In Attendance:</w:t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</w:r>
      <w:r w:rsidR="00C36B24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>Chair of the Board</w:t>
      </w:r>
    </w:p>
    <w:p w14:paraId="6E9ACD1F" w14:textId="77777777" w:rsidR="00C36B24" w:rsidRDefault="00C36B24" w:rsidP="00C36B24">
      <w:pPr>
        <w:shd w:val="clear" w:color="auto" w:fill="FFFFFF"/>
        <w:tabs>
          <w:tab w:val="left" w:pos="1843"/>
        </w:tabs>
        <w:rPr>
          <w:rFonts w:asciiTheme="minorHAnsi" w:eastAsia="Times New Roman" w:hAnsiTheme="minorHAnsi"/>
          <w:color w:val="000000"/>
          <w:sz w:val="22"/>
          <w:szCs w:val="27"/>
          <w:lang w:eastAsia="en-GB"/>
        </w:rPr>
      </w:pP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  <w:t>Chief Executive</w:t>
      </w:r>
    </w:p>
    <w:p w14:paraId="3227AA02" w14:textId="796B794E" w:rsidR="00F0545D" w:rsidRPr="00F0545D" w:rsidRDefault="00C36B24" w:rsidP="00C36B24">
      <w:pPr>
        <w:shd w:val="clear" w:color="auto" w:fill="FFFFFF"/>
        <w:tabs>
          <w:tab w:val="left" w:pos="1843"/>
        </w:tabs>
        <w:rPr>
          <w:rFonts w:asciiTheme="minorHAnsi" w:eastAsia="Times New Roman" w:hAnsiTheme="minorHAnsi" w:cs="Times New Roman"/>
          <w:color w:val="000000"/>
          <w:sz w:val="22"/>
          <w:szCs w:val="27"/>
          <w:lang w:eastAsia="en-GB"/>
        </w:rPr>
      </w:pP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</w:r>
      <w:r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tab/>
        <w:t>Executive director responsible for finance</w:t>
      </w:r>
      <w:r w:rsidR="00F0545D" w:rsidRPr="00F0545D">
        <w:rPr>
          <w:rFonts w:asciiTheme="minorHAnsi" w:eastAsia="Times New Roman" w:hAnsiTheme="minorHAnsi"/>
          <w:color w:val="000000"/>
          <w:sz w:val="22"/>
          <w:szCs w:val="27"/>
          <w:lang w:eastAsia="en-GB"/>
        </w:rPr>
        <w:br/>
      </w:r>
    </w:p>
    <w:p w14:paraId="3227AA03" w14:textId="77777777" w:rsidR="00506098" w:rsidRPr="00F0545D" w:rsidRDefault="00506098" w:rsidP="00F0545D">
      <w:pPr>
        <w:tabs>
          <w:tab w:val="left" w:pos="426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  <w:tab w:val="left" w:pos="5529"/>
          <w:tab w:val="left" w:pos="5954"/>
          <w:tab w:val="left" w:pos="6379"/>
          <w:tab w:val="left" w:pos="6804"/>
          <w:tab w:val="left" w:pos="7230"/>
          <w:tab w:val="left" w:pos="7655"/>
          <w:tab w:val="left" w:pos="8080"/>
          <w:tab w:val="left" w:pos="8505"/>
        </w:tabs>
        <w:rPr>
          <w:rFonts w:asciiTheme="minorHAnsi" w:hAnsiTheme="minorHAnsi"/>
          <w:sz w:val="16"/>
        </w:rPr>
      </w:pPr>
    </w:p>
    <w:sectPr w:rsidR="00506098" w:rsidRPr="00F05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D66"/>
    <w:multiLevelType w:val="hybridMultilevel"/>
    <w:tmpl w:val="A3C68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B27E5"/>
    <w:multiLevelType w:val="hybridMultilevel"/>
    <w:tmpl w:val="73B6A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00D4"/>
    <w:multiLevelType w:val="hybridMultilevel"/>
    <w:tmpl w:val="E15E9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B79F7"/>
    <w:multiLevelType w:val="hybridMultilevel"/>
    <w:tmpl w:val="7B108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EE4C63"/>
    <w:multiLevelType w:val="hybridMultilevel"/>
    <w:tmpl w:val="5694E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66FD"/>
    <w:multiLevelType w:val="hybridMultilevel"/>
    <w:tmpl w:val="765C3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5D"/>
    <w:rsid w:val="001B6DDC"/>
    <w:rsid w:val="002820CE"/>
    <w:rsid w:val="00330429"/>
    <w:rsid w:val="004A1E96"/>
    <w:rsid w:val="00506098"/>
    <w:rsid w:val="00585EDA"/>
    <w:rsid w:val="005A03DE"/>
    <w:rsid w:val="005D566B"/>
    <w:rsid w:val="00687D93"/>
    <w:rsid w:val="00C36B24"/>
    <w:rsid w:val="00F0545D"/>
    <w:rsid w:val="00F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7A9C4"/>
  <w15:docId w15:val="{4BD6EC40-1DEF-4885-8918-53FC26C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98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506098"/>
    <w:pPr>
      <w:outlineLvl w:val="0"/>
    </w:pPr>
    <w:rPr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6098"/>
    <w:pPr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rsid w:val="00506098"/>
  </w:style>
  <w:style w:type="paragraph" w:styleId="Title">
    <w:name w:val="Title"/>
    <w:basedOn w:val="NoSpacing"/>
    <w:next w:val="Normal"/>
    <w:link w:val="TitleChar"/>
    <w:uiPriority w:val="10"/>
    <w:qFormat/>
    <w:rsid w:val="00506098"/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06098"/>
    <w:rPr>
      <w:rFonts w:ascii="Arial" w:hAnsi="Arial" w:cs="Arial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06098"/>
    <w:rPr>
      <w:rFonts w:ascii="Arial" w:hAnsi="Arial" w:cs="Arial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06098"/>
    <w:rPr>
      <w:rFonts w:ascii="Arial" w:hAnsi="Arial" w:cs="Arial"/>
      <w:b/>
      <w:sz w:val="20"/>
      <w:szCs w:val="20"/>
    </w:rPr>
  </w:style>
  <w:style w:type="character" w:customStyle="1" w:styleId="pspdfkit-6um8mrhfmv4j3nvtw9x41bv9fb">
    <w:name w:val="pspdfkit-6um8mrhfmv4j3nvtw9x41bv9fb"/>
    <w:basedOn w:val="DefaultParagraphFont"/>
    <w:rsid w:val="00F0545D"/>
  </w:style>
  <w:style w:type="paragraph" w:styleId="ListParagraph">
    <w:name w:val="List Paragraph"/>
    <w:basedOn w:val="Normal"/>
    <w:uiPriority w:val="34"/>
    <w:rsid w:val="00F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1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2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4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1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9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8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48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38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Carter</dc:creator>
  <cp:lastModifiedBy>Richard Carter</cp:lastModifiedBy>
  <cp:revision>5</cp:revision>
  <dcterms:created xsi:type="dcterms:W3CDTF">2022-01-21T11:00:00Z</dcterms:created>
  <dcterms:modified xsi:type="dcterms:W3CDTF">2022-01-21T11:13:00Z</dcterms:modified>
</cp:coreProperties>
</file>